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supplement"/>
    <w:p>
      <w:pPr>
        <w:pStyle w:val="Heading1"/>
      </w:pPr>
      <w:r>
        <w:t xml:space="preserve">Supplement</w:t>
      </w:r>
    </w:p>
    <w:bookmarkStart w:id="25" w:name="appendix-a.-variable-construction"/>
    <w:p>
      <w:pPr>
        <w:pStyle w:val="Heading2"/>
      </w:pPr>
      <w:r>
        <w:t xml:space="preserve">Appendix A. Variable construction</w:t>
      </w:r>
    </w:p>
    <w:bookmarkStart w:id="20" w:name="parental-monitoring-wave-1"/>
    <w:p>
      <w:pPr>
        <w:pStyle w:val="Heading3"/>
      </w:pPr>
      <w:r>
        <w:t xml:space="preserve">Parental monitoring (Wave 1)</w:t>
      </w:r>
    </w:p>
    <w:p>
      <w:pPr>
        <w:pStyle w:val="Compact"/>
        <w:numPr>
          <w:ilvl w:val="0"/>
          <w:numId w:val="1001"/>
        </w:numPr>
      </w:pPr>
      <w:r>
        <w:t xml:space="preserve">Seven Wave 1 items on who usually decides:</w:t>
      </w:r>
    </w:p>
    <w:p>
      <w:pPr>
        <w:pStyle w:val="Compact"/>
        <w:numPr>
          <w:ilvl w:val="1"/>
          <w:numId w:val="1002"/>
        </w:numPr>
      </w:pPr>
      <w:r>
        <w:t xml:space="preserve">weekend curfew</w:t>
      </w:r>
    </w:p>
    <w:p>
      <w:pPr>
        <w:pStyle w:val="Compact"/>
        <w:numPr>
          <w:ilvl w:val="1"/>
          <w:numId w:val="1002"/>
        </w:numPr>
      </w:pPr>
      <w:r>
        <w:t xml:space="preserve">friends</w:t>
      </w:r>
    </w:p>
    <w:p>
      <w:pPr>
        <w:pStyle w:val="Compact"/>
        <w:numPr>
          <w:ilvl w:val="1"/>
          <w:numId w:val="1002"/>
        </w:numPr>
      </w:pPr>
      <w:r>
        <w:t xml:space="preserve">clothes</w:t>
      </w:r>
    </w:p>
    <w:p>
      <w:pPr>
        <w:pStyle w:val="Compact"/>
        <w:numPr>
          <w:ilvl w:val="1"/>
          <w:numId w:val="1002"/>
        </w:numPr>
      </w:pPr>
      <w:r>
        <w:t xml:space="preserve">amount of television</w:t>
      </w:r>
    </w:p>
    <w:p>
      <w:pPr>
        <w:pStyle w:val="Compact"/>
        <w:numPr>
          <w:ilvl w:val="1"/>
          <w:numId w:val="1002"/>
        </w:numPr>
      </w:pPr>
      <w:r>
        <w:t xml:space="preserve">television content</w:t>
      </w:r>
    </w:p>
    <w:p>
      <w:pPr>
        <w:pStyle w:val="Compact"/>
        <w:numPr>
          <w:ilvl w:val="1"/>
          <w:numId w:val="1002"/>
        </w:numPr>
      </w:pPr>
      <w:r>
        <w:t xml:space="preserve">weekday bedtime</w:t>
      </w:r>
    </w:p>
    <w:p>
      <w:pPr>
        <w:pStyle w:val="Compact"/>
        <w:numPr>
          <w:ilvl w:val="1"/>
          <w:numId w:val="1002"/>
        </w:numPr>
      </w:pPr>
      <w:r>
        <w:t xml:space="preserve">food choice</w:t>
      </w:r>
    </w:p>
    <w:p>
      <w:pPr>
        <w:pStyle w:val="Compact"/>
        <w:numPr>
          <w:ilvl w:val="0"/>
          <w:numId w:val="1002"/>
        </w:numPr>
      </w:pPr>
      <w:r>
        <w:t xml:space="preserve">Higher values indicate stronger parental decision control.</w:t>
      </w:r>
    </w:p>
    <w:bookmarkEnd w:id="20"/>
    <w:bookmarkStart w:id="21" w:name="shared-activities-with-parents-wave-1"/>
    <w:p>
      <w:pPr>
        <w:pStyle w:val="Heading3"/>
      </w:pPr>
      <w:r>
        <w:t xml:space="preserve">Shared activities with parents (Wave 1)</w:t>
      </w:r>
    </w:p>
    <w:p>
      <w:pPr>
        <w:pStyle w:val="Compact"/>
        <w:numPr>
          <w:ilvl w:val="0"/>
          <w:numId w:val="1003"/>
        </w:numPr>
      </w:pPr>
      <w:r>
        <w:t xml:space="preserve">Wave 1 reports of shared activities with resident parents:</w:t>
      </w:r>
    </w:p>
    <w:p>
      <w:pPr>
        <w:pStyle w:val="Compact"/>
        <w:numPr>
          <w:ilvl w:val="1"/>
          <w:numId w:val="1004"/>
        </w:numPr>
      </w:pPr>
      <w:r>
        <w:t xml:space="preserve">shopping</w:t>
      </w:r>
    </w:p>
    <w:p>
      <w:pPr>
        <w:pStyle w:val="Compact"/>
        <w:numPr>
          <w:ilvl w:val="1"/>
          <w:numId w:val="1004"/>
        </w:numPr>
      </w:pPr>
      <w:r>
        <w:t xml:space="preserve">sport</w:t>
      </w:r>
    </w:p>
    <w:p>
      <w:pPr>
        <w:pStyle w:val="Compact"/>
        <w:numPr>
          <w:ilvl w:val="1"/>
          <w:numId w:val="1004"/>
        </w:numPr>
      </w:pPr>
      <w:r>
        <w:t xml:space="preserve">religious attendance</w:t>
      </w:r>
    </w:p>
    <w:p>
      <w:pPr>
        <w:pStyle w:val="Compact"/>
        <w:numPr>
          <w:ilvl w:val="1"/>
          <w:numId w:val="1004"/>
        </w:numPr>
      </w:pPr>
      <w:r>
        <w:t xml:space="preserve">movies</w:t>
      </w:r>
    </w:p>
    <w:p>
      <w:pPr>
        <w:pStyle w:val="Compact"/>
        <w:numPr>
          <w:ilvl w:val="1"/>
          <w:numId w:val="1004"/>
        </w:numPr>
      </w:pPr>
      <w:r>
        <w:t xml:space="preserve">school projects</w:t>
      </w:r>
    </w:p>
    <w:p>
      <w:pPr>
        <w:pStyle w:val="Compact"/>
        <w:numPr>
          <w:ilvl w:val="1"/>
          <w:numId w:val="1004"/>
        </w:numPr>
      </w:pPr>
      <w:r>
        <w:t xml:space="preserve">frequent shared dinners</w:t>
      </w:r>
    </w:p>
    <w:p>
      <w:pPr>
        <w:pStyle w:val="Compact"/>
        <w:numPr>
          <w:ilvl w:val="0"/>
          <w:numId w:val="1004"/>
        </w:numPr>
      </w:pPr>
      <w:r>
        <w:t xml:space="preserve">Higher values indicate greater routine involvement with parents.</w:t>
      </w:r>
    </w:p>
    <w:bookmarkEnd w:id="21"/>
    <w:bookmarkStart w:id="22" w:name="family-cohesion-wave-2"/>
    <w:p>
      <w:pPr>
        <w:pStyle w:val="Heading3"/>
      </w:pPr>
      <w:r>
        <w:t xml:space="preserve">Family cohesion (Wave 2)</w:t>
      </w:r>
    </w:p>
    <w:p>
      <w:pPr>
        <w:pStyle w:val="Compact"/>
        <w:numPr>
          <w:ilvl w:val="0"/>
          <w:numId w:val="1005"/>
        </w:numPr>
      </w:pPr>
      <w:r>
        <w:t xml:space="preserve">Three Wave 2 items:</w:t>
      </w:r>
    </w:p>
    <w:p>
      <w:pPr>
        <w:pStyle w:val="Compact"/>
        <w:numPr>
          <w:ilvl w:val="1"/>
          <w:numId w:val="1006"/>
        </w:numPr>
      </w:pPr>
      <w:r>
        <w:t xml:space="preserve">family understands the respondent</w:t>
      </w:r>
    </w:p>
    <w:p>
      <w:pPr>
        <w:pStyle w:val="Compact"/>
        <w:numPr>
          <w:ilvl w:val="1"/>
          <w:numId w:val="1006"/>
        </w:numPr>
      </w:pPr>
      <w:r>
        <w:t xml:space="preserve">family has fun together</w:t>
      </w:r>
    </w:p>
    <w:p>
      <w:pPr>
        <w:pStyle w:val="Compact"/>
        <w:numPr>
          <w:ilvl w:val="1"/>
          <w:numId w:val="1006"/>
        </w:numPr>
      </w:pPr>
      <w:r>
        <w:t xml:space="preserve">family pays attention to the respondent</w:t>
      </w:r>
    </w:p>
    <w:p>
      <w:pPr>
        <w:pStyle w:val="Compact"/>
        <w:numPr>
          <w:ilvl w:val="0"/>
          <w:numId w:val="1006"/>
        </w:numPr>
      </w:pPr>
      <w:r>
        <w:t xml:space="preserve">Higher values indicate stronger family cohesion.</w:t>
      </w:r>
    </w:p>
    <w:bookmarkEnd w:id="22"/>
    <w:bookmarkStart w:id="23" w:name="family-income-wave-1"/>
    <w:p>
      <w:pPr>
        <w:pStyle w:val="Heading3"/>
      </w:pPr>
      <w:r>
        <w:t xml:space="preserve">Family income (Wave 1)</w:t>
      </w:r>
    </w:p>
    <w:p>
      <w:pPr>
        <w:pStyle w:val="Compact"/>
        <w:numPr>
          <w:ilvl w:val="0"/>
          <w:numId w:val="1007"/>
        </w:numPr>
      </w:pPr>
      <w:r>
        <w:t xml:space="preserve">Wave 1 family income quintile.</w:t>
      </w:r>
    </w:p>
    <w:p>
      <w:pPr>
        <w:pStyle w:val="Compact"/>
        <w:numPr>
          <w:ilvl w:val="0"/>
          <w:numId w:val="1007"/>
        </w:numPr>
      </w:pPr>
      <w:r>
        <w:t xml:space="preserve">The article evaluates conditional effects at quintiles 1 and 5.</w:t>
      </w:r>
    </w:p>
    <w:bookmarkEnd w:id="23"/>
    <w:bookmarkStart w:id="24" w:name="arrest-by-wave-4"/>
    <w:p>
      <w:pPr>
        <w:pStyle w:val="Heading3"/>
      </w:pPr>
      <w:r>
        <w:t xml:space="preserve">Arrest by Wave 4</w:t>
      </w:r>
    </w:p>
    <w:p>
      <w:pPr>
        <w:pStyle w:val="Compact"/>
        <w:numPr>
          <w:ilvl w:val="0"/>
          <w:numId w:val="1008"/>
        </w:numPr>
      </w:pPr>
      <w:r>
        <w:t xml:space="preserve">Binary indicator of any arrest by Wave 4.</w:t>
      </w:r>
    </w:p>
    <w:bookmarkEnd w:id="24"/>
    <w:bookmarkEnd w:id="25"/>
    <w:bookmarkStart w:id="26" w:name="appendix-b.-note-on-sample-weights"/>
    <w:p>
      <w:pPr>
        <w:pStyle w:val="Heading2"/>
      </w:pPr>
      <w:r>
        <w:t xml:space="preserve">Appendix B. Note on sample weights</w:t>
      </w:r>
    </w:p>
    <w:p>
      <w:pPr>
        <w:pStyle w:val="FirstParagraph"/>
      </w:pPr>
      <w:r>
        <w:t xml:space="preserve">The article reports unweighted complete-case estimates. That choice follows the design of the longitudinal analytic sample and the aim of keeping the conditional indirect comparison on a single case set. Public-use Add Health files provide wave-specific public-use weights, but the exact W1-W2-W4 mapping for this complete-case analytic sample requires a separate validation exercise. This note clarifies that the present estimates apply to the unweighted public-use longitudinal sample used here and do not substitute for a future weighted replication.</w:t>
      </w:r>
    </w:p>
    <w:bookmarkEnd w:id="26"/>
    <w:bookmarkStart w:id="27" w:name="Xb692d824a0149bd00e6e5b2b71c36256287ac53"/>
    <w:p>
      <w:pPr>
        <w:pStyle w:val="Heading2"/>
      </w:pPr>
      <w:r>
        <w:t xml:space="preserve">Appendix C. Mediation framework and interpretation</w:t>
      </w:r>
    </w:p>
    <w:p>
      <w:pPr>
        <w:pStyle w:val="FirstParagraph"/>
      </w:pPr>
      <w:r>
        <w:t xml:space="preserve">The main article interprets the indirect estimates within the counterfactual mediation tradition. That language requires caution. A causal interpretation would require strong assumptions about exposure-mediator, exposure-outcome, and mediator-outcome confounding after conditioning on the observed covariates, as well as the absence of mediator-outcome confounders affected by the exposure. Those assumptions cannot be verified with the public-use Add Health data used here. The mediated quantities reported in the article are therefore best treated as model-based decompositions from a longitudinal specification, not as identified causal mechanisms.</w:t>
      </w:r>
    </w:p>
    <w:bookmarkEnd w:id="27"/>
    <w:bookmarkStart w:id="28" w:name="appendix-d.-logit-sensitivity-summary"/>
    <w:p>
      <w:pPr>
        <w:pStyle w:val="Heading2"/>
      </w:pPr>
      <w:r>
        <w:t xml:space="preserve">Appendix D. Logit sensitivity summary</w:t>
      </w:r>
    </w:p>
    <w:p>
      <w:pPr>
        <w:pStyle w:val="FirstParagraph"/>
      </w:pPr>
      <w:r>
        <w:t xml:space="preserve">The binary-outcome sensitivity model reproduces the main asymmetry reported in the article. Supplementary Table S1 reports odds ratios, 95% confidence intervals, and p values for the same covariate set used in the main specification.</w:t>
      </w:r>
    </w:p>
    <w:bookmarkEnd w:id="28"/>
    <w:bookmarkStart w:id="29" w:name="Xda3439d8c9cd51b3945c4df8abec0eee062f553"/>
    <w:p>
      <w:pPr>
        <w:pStyle w:val="Heading2"/>
      </w:pPr>
      <w:r>
        <w:t xml:space="preserve">Supplementary Table S1. Logit Sensitivity Estimates for the Binary Arrest Outcome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961"/>
        <w:gridCol w:w="667"/>
        <w:gridCol w:w="1526"/>
        <w:gridCol w:w="76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Characteristic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95% CI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Focal predictors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Parental monitoring (W1)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0.986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[0.915, 1.062]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Shared activities with parents (W1)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[0.851, 0.953]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&lt;0.001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Mediator and moderator terms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Family cohesion (W2)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[0.772, 0.980]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Family income quintile (W1)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0.578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[0.400, 0.836]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Family cohesion (W2) x family income quintile (W1)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[1.004, 1.071]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Family cohesion at income quintile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[0.823, 0.988]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Family cohesion at income quintile 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[0.963, 1.128]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Demographic covariates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Age (W1)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[0.881, 1.019]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Male sex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3.480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[2.791, 4.338]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&lt;0.001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Black/African American (vs Hispanic)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[0.906, 2.215]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Asian/Pacific Islander (vs Hispanic)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[0.237, 1.168]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American Indian/Native American (vs Hispanic)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[0.828, 3.489]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Other race/ethnicity (vs Hispanic)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0.469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[0.089, 2.465]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White (vs Hispanic)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[0.826, 1.751]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Baseline covariates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Violence index baseline (W1)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[1.025, 1.684]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Substance deviance baseline (W1)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2.174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[1.695, 2.787]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&lt;0.001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Delinquency index baseline (W1)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[1.011, 1.467]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Theft index baseline (W1)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[1.111, 1.721]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Family cohesion baseline (W1)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[0.921, 1.035]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Model 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2118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Note.</w:t>
      </w:r>
      <w:r>
        <w:t xml:space="preserve"> </w:t>
      </w:r>
      <w:r>
        <w:t xml:space="preserve">OR = odds ratio. CI = confidence interval. The logit model uses the same covariate set as the main specification. The conditional family-cohesion rows evaluate the family cohesion-to-arrest association at income quintiles 1 and 5.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2026-03-26T07:09:50Z</dcterms:created>
  <dcterms:modified xsi:type="dcterms:W3CDTF">2026-03-26T07:09:50Z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